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76" w:rsidRDefault="00312076" w:rsidP="00312076">
      <w:pPr>
        <w:pStyle w:val="NoSpacing"/>
        <w:jc w:val="center"/>
        <w:rPr>
          <w:rFonts w:ascii="Arial" w:hAnsi="Arial" w:cs="Arial"/>
          <w:b/>
          <w:color w:val="404040" w:themeColor="text1" w:themeTint="BF"/>
        </w:rPr>
      </w:pPr>
      <w:r>
        <w:rPr>
          <w:noProof/>
        </w:rPr>
        <w:drawing>
          <wp:inline distT="0" distB="0" distL="0" distR="0" wp14:anchorId="102AB8C6" wp14:editId="51FF4AE3">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312076" w:rsidRDefault="00312076" w:rsidP="00312076">
      <w:pPr>
        <w:pStyle w:val="NoSpacing"/>
        <w:jc w:val="center"/>
        <w:rPr>
          <w:rFonts w:ascii="Arial" w:hAnsi="Arial" w:cs="Arial"/>
          <w:b/>
          <w:color w:val="404040" w:themeColor="text1" w:themeTint="BF"/>
        </w:rPr>
      </w:pPr>
    </w:p>
    <w:p w:rsidR="00312076" w:rsidRPr="00312076" w:rsidRDefault="00312076" w:rsidP="00312076">
      <w:pPr>
        <w:pStyle w:val="NoSpacing"/>
        <w:jc w:val="center"/>
        <w:rPr>
          <w:rFonts w:ascii="Arial" w:hAnsi="Arial" w:cs="Arial"/>
          <w:b/>
          <w:color w:val="404040" w:themeColor="text1" w:themeTint="BF"/>
          <w:sz w:val="28"/>
          <w:szCs w:val="28"/>
        </w:rPr>
      </w:pPr>
      <w:r>
        <w:rPr>
          <w:rFonts w:ascii="Arial" w:hAnsi="Arial" w:cs="Arial"/>
          <w:b/>
          <w:color w:val="404040" w:themeColor="text1" w:themeTint="BF"/>
          <w:sz w:val="28"/>
          <w:szCs w:val="28"/>
        </w:rPr>
        <w:t>Newborn Metabolic Screening (PKU)</w:t>
      </w:r>
    </w:p>
    <w:p w:rsidR="00312076" w:rsidRDefault="00312076" w:rsidP="00280205">
      <w:pPr>
        <w:pStyle w:val="NoSpacing"/>
        <w:rPr>
          <w:rFonts w:ascii="Arial" w:hAnsi="Arial" w:cs="Arial"/>
          <w:b/>
          <w:color w:val="404040" w:themeColor="text1" w:themeTint="BF"/>
        </w:rPr>
      </w:pPr>
    </w:p>
    <w:p w:rsidR="00280205" w:rsidRPr="001F47D9" w:rsidRDefault="00280205" w:rsidP="00280205">
      <w:pPr>
        <w:pStyle w:val="NoSpacing"/>
        <w:rPr>
          <w:rFonts w:ascii="Arial" w:hAnsi="Arial" w:cs="Arial"/>
          <w:b/>
          <w:color w:val="404040" w:themeColor="text1" w:themeTint="BF"/>
        </w:rPr>
      </w:pPr>
      <w:r w:rsidRPr="001F47D9">
        <w:rPr>
          <w:rFonts w:ascii="Arial" w:hAnsi="Arial" w:cs="Arial"/>
          <w:b/>
          <w:color w:val="404040" w:themeColor="text1" w:themeTint="BF"/>
        </w:rPr>
        <w:t xml:space="preserve">What is newborn screening? </w:t>
      </w:r>
    </w:p>
    <w:p w:rsidR="00051F95" w:rsidRPr="001F47D9" w:rsidRDefault="00280205" w:rsidP="00280205">
      <w:pPr>
        <w:pStyle w:val="NoSpacing"/>
        <w:rPr>
          <w:rFonts w:ascii="Arial" w:hAnsi="Arial" w:cs="Arial"/>
          <w:color w:val="404040" w:themeColor="text1" w:themeTint="BF"/>
        </w:rPr>
      </w:pPr>
      <w:r w:rsidRPr="001F47D9">
        <w:rPr>
          <w:rFonts w:ascii="Arial" w:hAnsi="Arial" w:cs="Arial"/>
          <w:color w:val="404040" w:themeColor="text1" w:themeTint="BF"/>
        </w:rPr>
        <w:t>Newborn screening is a way to identify babies who are at risk for serious disorders that are treatable, but not apparent at birth. State law requires that a blood-spot specimen be collected from every baby born in Washington within 48 hours of birth. This specimen is used to test for potentially life threatening disorders. (Chapter 70.83 RCW and Chapter 246-650 WAC)</w:t>
      </w:r>
    </w:p>
    <w:p w:rsidR="00280205" w:rsidRPr="001F47D9" w:rsidRDefault="00280205" w:rsidP="00280205">
      <w:pPr>
        <w:pStyle w:val="NoSpacing"/>
        <w:rPr>
          <w:rFonts w:ascii="Arial" w:hAnsi="Arial" w:cs="Arial"/>
          <w:b/>
          <w:color w:val="404040" w:themeColor="text1" w:themeTint="BF"/>
        </w:rPr>
      </w:pPr>
    </w:p>
    <w:p w:rsidR="00280205" w:rsidRPr="001F47D9" w:rsidRDefault="00280205" w:rsidP="00280205">
      <w:pPr>
        <w:pStyle w:val="NoSpacing"/>
        <w:rPr>
          <w:rFonts w:ascii="Arial" w:hAnsi="Arial" w:cs="Arial"/>
          <w:b/>
          <w:color w:val="404040" w:themeColor="text1" w:themeTint="BF"/>
        </w:rPr>
      </w:pPr>
      <w:r w:rsidRPr="001F47D9">
        <w:rPr>
          <w:rFonts w:ascii="Arial" w:hAnsi="Arial" w:cs="Arial"/>
          <w:b/>
          <w:color w:val="404040" w:themeColor="text1" w:themeTint="BF"/>
        </w:rPr>
        <w:t xml:space="preserve">Why is screening important? </w:t>
      </w:r>
    </w:p>
    <w:p w:rsidR="00280205" w:rsidRPr="001F47D9" w:rsidRDefault="00280205" w:rsidP="00280205">
      <w:pPr>
        <w:pStyle w:val="NoSpacing"/>
        <w:rPr>
          <w:rFonts w:ascii="Arial" w:hAnsi="Arial" w:cs="Arial"/>
          <w:color w:val="404040" w:themeColor="text1" w:themeTint="BF"/>
        </w:rPr>
      </w:pPr>
      <w:r w:rsidRPr="001F47D9">
        <w:rPr>
          <w:rFonts w:ascii="Arial" w:hAnsi="Arial" w:cs="Arial"/>
          <w:color w:val="404040" w:themeColor="text1" w:themeTint="BF"/>
        </w:rPr>
        <w:t>This screening identifies disorders that, if not detected and treated early, can result in developmental delays, severe illness or even death. A newborn baby may look perfectly healthy, but still have a serious disorder. Finding these problems early and treating them can prevent many serious complications. Fortunately, treatment is available to prevent or greatly reduce the effects of these disorders. Newborn screening tests are one important way to provide your baby with the best possible health care. A simple blood test can give you and your baby's health care provider information about your baby's health that you may not otherwise know.</w:t>
      </w:r>
    </w:p>
    <w:p w:rsidR="00280205" w:rsidRPr="001F47D9" w:rsidRDefault="00280205" w:rsidP="00280205">
      <w:pPr>
        <w:pStyle w:val="NoSpacing"/>
        <w:rPr>
          <w:rFonts w:ascii="Arial" w:hAnsi="Arial" w:cs="Arial"/>
          <w:color w:val="404040" w:themeColor="text1" w:themeTint="BF"/>
        </w:rPr>
      </w:pPr>
    </w:p>
    <w:p w:rsidR="00280205" w:rsidRPr="001F47D9" w:rsidRDefault="00280205" w:rsidP="00280205">
      <w:pPr>
        <w:pStyle w:val="NoSpacing"/>
        <w:rPr>
          <w:rFonts w:ascii="Arial" w:hAnsi="Arial" w:cs="Arial"/>
          <w:b/>
          <w:color w:val="404040" w:themeColor="text1" w:themeTint="BF"/>
        </w:rPr>
      </w:pPr>
      <w:r w:rsidRPr="001F47D9">
        <w:rPr>
          <w:rFonts w:ascii="Arial" w:hAnsi="Arial" w:cs="Arial"/>
          <w:b/>
          <w:color w:val="404040" w:themeColor="text1" w:themeTint="BF"/>
        </w:rPr>
        <w:t xml:space="preserve">How is screening done? </w:t>
      </w:r>
    </w:p>
    <w:p w:rsidR="00280205" w:rsidRPr="001F47D9" w:rsidRDefault="00280205" w:rsidP="00280205">
      <w:pPr>
        <w:pStyle w:val="NoSpacing"/>
        <w:rPr>
          <w:rFonts w:ascii="Arial" w:hAnsi="Arial" w:cs="Arial"/>
          <w:color w:val="404040" w:themeColor="text1" w:themeTint="BF"/>
        </w:rPr>
      </w:pPr>
      <w:r w:rsidRPr="001F47D9">
        <w:rPr>
          <w:rFonts w:ascii="Arial" w:hAnsi="Arial" w:cs="Arial"/>
          <w:color w:val="404040" w:themeColor="text1" w:themeTint="BF"/>
        </w:rPr>
        <w:t>All tests are done from a few drops of blood taken from your baby's heel. The blood is collected on a special absorbent paper and sent to the Newborn Screening Program at the State Public Health Laboratories in Shoreline for testing. The hospital or health care provider who submitted the specimen is notified of the results within a few days.</w:t>
      </w:r>
    </w:p>
    <w:p w:rsidR="00280205" w:rsidRPr="001F47D9" w:rsidRDefault="00280205" w:rsidP="00280205">
      <w:pPr>
        <w:pStyle w:val="NoSpacing"/>
        <w:rPr>
          <w:rFonts w:ascii="Arial" w:hAnsi="Arial" w:cs="Arial"/>
          <w:color w:val="404040" w:themeColor="text1" w:themeTint="BF"/>
        </w:rPr>
      </w:pPr>
    </w:p>
    <w:p w:rsidR="00280205" w:rsidRPr="001F47D9" w:rsidRDefault="00280205" w:rsidP="00280205">
      <w:pPr>
        <w:pStyle w:val="NoSpacing"/>
        <w:rPr>
          <w:rFonts w:ascii="Arial" w:hAnsi="Arial" w:cs="Arial"/>
          <w:b/>
          <w:color w:val="404040" w:themeColor="text1" w:themeTint="BF"/>
        </w:rPr>
      </w:pPr>
      <w:r w:rsidRPr="001F47D9">
        <w:rPr>
          <w:rFonts w:ascii="Arial" w:hAnsi="Arial" w:cs="Arial"/>
          <w:b/>
          <w:color w:val="404040" w:themeColor="text1" w:themeTint="BF"/>
        </w:rPr>
        <w:t xml:space="preserve">When should screening be done? </w:t>
      </w:r>
    </w:p>
    <w:p w:rsidR="00280205" w:rsidRPr="001F47D9" w:rsidRDefault="00280205" w:rsidP="00280205">
      <w:pPr>
        <w:pStyle w:val="NoSpacing"/>
        <w:rPr>
          <w:rFonts w:ascii="Arial" w:hAnsi="Arial" w:cs="Arial"/>
          <w:color w:val="404040" w:themeColor="text1" w:themeTint="BF"/>
        </w:rPr>
      </w:pPr>
      <w:r w:rsidRPr="001F47D9">
        <w:rPr>
          <w:rFonts w:ascii="Arial" w:hAnsi="Arial" w:cs="Arial"/>
          <w:color w:val="404040" w:themeColor="text1" w:themeTint="BF"/>
        </w:rPr>
        <w:t>Generally the first screening specimen should be collected when the baby is between 18 and 48 hours of age. This allows affected infants to be treated as soon as possible. The routine second specimen should be collected between 7 and 14 days of age, but it is still beneficial for older babies. Additional testing should also be done when requested by your baby's health care provider (pediatrician).</w:t>
      </w:r>
    </w:p>
    <w:p w:rsidR="00280205" w:rsidRPr="001F47D9" w:rsidRDefault="00280205" w:rsidP="00280205">
      <w:pPr>
        <w:pStyle w:val="NoSpacing"/>
        <w:rPr>
          <w:rFonts w:ascii="Arial" w:hAnsi="Arial" w:cs="Arial"/>
          <w:color w:val="404040" w:themeColor="text1" w:themeTint="BF"/>
        </w:rPr>
      </w:pPr>
    </w:p>
    <w:p w:rsidR="00280205" w:rsidRPr="001F47D9" w:rsidRDefault="00280205" w:rsidP="00280205">
      <w:pPr>
        <w:pStyle w:val="NoSpacing"/>
        <w:rPr>
          <w:rFonts w:ascii="Arial" w:hAnsi="Arial" w:cs="Arial"/>
          <w:b/>
          <w:color w:val="404040" w:themeColor="text1" w:themeTint="BF"/>
        </w:rPr>
      </w:pPr>
      <w:r w:rsidRPr="001F47D9">
        <w:rPr>
          <w:rFonts w:ascii="Arial" w:hAnsi="Arial" w:cs="Arial"/>
          <w:b/>
          <w:color w:val="404040" w:themeColor="text1" w:themeTint="BF"/>
        </w:rPr>
        <w:t xml:space="preserve">Why are two specimens recommended? </w:t>
      </w:r>
    </w:p>
    <w:p w:rsidR="00280205" w:rsidRPr="001F47D9" w:rsidRDefault="00280205" w:rsidP="00280205">
      <w:pPr>
        <w:pStyle w:val="NoSpacing"/>
        <w:rPr>
          <w:rFonts w:ascii="Arial" w:hAnsi="Arial" w:cs="Arial"/>
          <w:color w:val="404040" w:themeColor="text1" w:themeTint="BF"/>
        </w:rPr>
      </w:pPr>
      <w:r w:rsidRPr="001F47D9">
        <w:rPr>
          <w:rFonts w:ascii="Arial" w:hAnsi="Arial" w:cs="Arial"/>
          <w:color w:val="404040" w:themeColor="text1" w:themeTint="BF"/>
        </w:rPr>
        <w:t xml:space="preserve">Most of the disorders will be detected on the first specimen, even if taken on the day of birth. The second specimen is recommended because some disorders may not be detected until the baby is slightly older. </w:t>
      </w:r>
    </w:p>
    <w:p w:rsidR="00280205" w:rsidRPr="001F47D9" w:rsidRDefault="00280205" w:rsidP="00280205">
      <w:pPr>
        <w:pStyle w:val="NoSpacing"/>
        <w:rPr>
          <w:rFonts w:ascii="Arial" w:hAnsi="Arial" w:cs="Arial"/>
          <w:color w:val="404040" w:themeColor="text1" w:themeTint="BF"/>
        </w:rPr>
      </w:pPr>
    </w:p>
    <w:p w:rsidR="00280205" w:rsidRPr="001F47D9" w:rsidRDefault="00280205" w:rsidP="00280205">
      <w:pPr>
        <w:pStyle w:val="NoSpacing"/>
        <w:rPr>
          <w:rFonts w:ascii="Arial" w:hAnsi="Arial" w:cs="Arial"/>
          <w:color w:val="404040" w:themeColor="text1" w:themeTint="BF"/>
        </w:rPr>
      </w:pPr>
      <w:r w:rsidRPr="001F47D9">
        <w:rPr>
          <w:rFonts w:ascii="Arial" w:hAnsi="Arial" w:cs="Arial"/>
          <w:color w:val="404040" w:themeColor="text1" w:themeTint="BF"/>
        </w:rPr>
        <w:t xml:space="preserve">Sometimes more than two specimens may be requested. This does not mean your baby has one of the disorders. The most common reason for requesting an additional specimen </w:t>
      </w:r>
      <w:proofErr w:type="spellStart"/>
      <w:r w:rsidRPr="001F47D9">
        <w:rPr>
          <w:rFonts w:ascii="Arial" w:hAnsi="Arial" w:cs="Arial"/>
          <w:color w:val="404040" w:themeColor="text1" w:themeTint="BF"/>
        </w:rPr>
        <w:t>isthat</w:t>
      </w:r>
      <w:proofErr w:type="spellEnd"/>
      <w:r w:rsidRPr="001F47D9">
        <w:rPr>
          <w:rFonts w:ascii="Arial" w:hAnsi="Arial" w:cs="Arial"/>
          <w:color w:val="404040" w:themeColor="text1" w:themeTint="BF"/>
        </w:rPr>
        <w:t xml:space="preserve"> the previous results were inconclusive. </w:t>
      </w:r>
    </w:p>
    <w:p w:rsidR="00280205" w:rsidRPr="001F47D9" w:rsidRDefault="00280205" w:rsidP="00280205">
      <w:pPr>
        <w:pStyle w:val="NoSpacing"/>
        <w:rPr>
          <w:rFonts w:ascii="Arial" w:hAnsi="Arial" w:cs="Arial"/>
          <w:color w:val="404040" w:themeColor="text1" w:themeTint="BF"/>
        </w:rPr>
      </w:pPr>
    </w:p>
    <w:p w:rsidR="00280205" w:rsidRPr="001F47D9" w:rsidRDefault="00280205" w:rsidP="00280205">
      <w:pPr>
        <w:pStyle w:val="NoSpacing"/>
        <w:rPr>
          <w:rFonts w:ascii="Arial" w:hAnsi="Arial" w:cs="Arial"/>
          <w:color w:val="404040" w:themeColor="text1" w:themeTint="BF"/>
        </w:rPr>
      </w:pPr>
      <w:r w:rsidRPr="001F47D9">
        <w:rPr>
          <w:rFonts w:ascii="Arial" w:hAnsi="Arial" w:cs="Arial"/>
          <w:color w:val="404040" w:themeColor="text1" w:themeTint="BF"/>
        </w:rPr>
        <w:t>There is only one charge per infant for the screening. Additional specimens are tested at no additional charge. However, your health care provider may charge a fee to collect the specimen. Diagnostic testing, if needed, will involve additional costs.</w:t>
      </w:r>
    </w:p>
    <w:p w:rsidR="00280205" w:rsidRPr="001F47D9" w:rsidRDefault="00280205" w:rsidP="00280205">
      <w:pPr>
        <w:pStyle w:val="NoSpacing"/>
        <w:rPr>
          <w:rFonts w:ascii="Arial" w:hAnsi="Arial" w:cs="Arial"/>
          <w:color w:val="404040" w:themeColor="text1" w:themeTint="BF"/>
        </w:rPr>
      </w:pPr>
    </w:p>
    <w:p w:rsidR="009628C4" w:rsidRPr="001F47D9" w:rsidRDefault="009628C4" w:rsidP="00280205">
      <w:pPr>
        <w:pStyle w:val="NoSpacing"/>
        <w:rPr>
          <w:rFonts w:ascii="Arial" w:hAnsi="Arial" w:cs="Arial"/>
          <w:b/>
          <w:color w:val="404040" w:themeColor="text1" w:themeTint="BF"/>
        </w:rPr>
      </w:pPr>
      <w:r w:rsidRPr="001F47D9">
        <w:rPr>
          <w:rFonts w:ascii="Arial" w:hAnsi="Arial" w:cs="Arial"/>
          <w:b/>
          <w:color w:val="404040" w:themeColor="text1" w:themeTint="BF"/>
        </w:rPr>
        <w:t xml:space="preserve">What happens if a disorder is suspected? </w:t>
      </w:r>
    </w:p>
    <w:p w:rsidR="009628C4" w:rsidRPr="001F47D9" w:rsidRDefault="009628C4" w:rsidP="00280205">
      <w:pPr>
        <w:pStyle w:val="NoSpacing"/>
        <w:rPr>
          <w:rFonts w:ascii="Arial" w:hAnsi="Arial" w:cs="Arial"/>
          <w:color w:val="404040" w:themeColor="text1" w:themeTint="BF"/>
        </w:rPr>
      </w:pPr>
      <w:r w:rsidRPr="001F47D9">
        <w:rPr>
          <w:rFonts w:ascii="Arial" w:hAnsi="Arial" w:cs="Arial"/>
          <w:color w:val="404040" w:themeColor="text1" w:themeTint="BF"/>
        </w:rPr>
        <w:t>If the newborn screening test indicates a possible problem, your baby's health care provider will be contacted immediately. Diagnostic testing will be recommended so treatment can be started without delay if your baby is affected with one of the disorders.</w:t>
      </w:r>
    </w:p>
    <w:p w:rsidR="009628C4" w:rsidRPr="001F47D9" w:rsidRDefault="009628C4" w:rsidP="00280205">
      <w:pPr>
        <w:pStyle w:val="NoSpacing"/>
        <w:rPr>
          <w:rFonts w:ascii="Arial" w:hAnsi="Arial" w:cs="Arial"/>
          <w:color w:val="404040" w:themeColor="text1" w:themeTint="BF"/>
        </w:rPr>
      </w:pPr>
    </w:p>
    <w:p w:rsidR="00312076" w:rsidRDefault="00312076" w:rsidP="00280205">
      <w:pPr>
        <w:pStyle w:val="NoSpacing"/>
        <w:rPr>
          <w:rFonts w:ascii="Arial" w:hAnsi="Arial" w:cs="Arial"/>
          <w:b/>
          <w:color w:val="404040" w:themeColor="text1" w:themeTint="BF"/>
        </w:rPr>
      </w:pPr>
    </w:p>
    <w:p w:rsidR="00312076" w:rsidRDefault="00312076" w:rsidP="00280205">
      <w:pPr>
        <w:pStyle w:val="NoSpacing"/>
        <w:rPr>
          <w:rFonts w:ascii="Arial" w:hAnsi="Arial" w:cs="Arial"/>
          <w:b/>
          <w:color w:val="404040" w:themeColor="text1" w:themeTint="BF"/>
        </w:rPr>
      </w:pPr>
    </w:p>
    <w:p w:rsidR="00312076" w:rsidRDefault="00312076" w:rsidP="00280205">
      <w:pPr>
        <w:pStyle w:val="NoSpacing"/>
        <w:rPr>
          <w:rFonts w:ascii="Arial" w:hAnsi="Arial" w:cs="Arial"/>
          <w:b/>
          <w:color w:val="404040" w:themeColor="text1" w:themeTint="BF"/>
        </w:rPr>
      </w:pPr>
    </w:p>
    <w:p w:rsidR="009628C4" w:rsidRPr="001F47D9" w:rsidRDefault="009628C4" w:rsidP="00280205">
      <w:pPr>
        <w:pStyle w:val="NoSpacing"/>
        <w:rPr>
          <w:rFonts w:ascii="Arial" w:hAnsi="Arial" w:cs="Arial"/>
          <w:b/>
          <w:color w:val="404040" w:themeColor="text1" w:themeTint="BF"/>
        </w:rPr>
      </w:pPr>
      <w:r w:rsidRPr="001F47D9">
        <w:rPr>
          <w:rFonts w:ascii="Arial" w:hAnsi="Arial" w:cs="Arial"/>
          <w:b/>
          <w:color w:val="404040" w:themeColor="text1" w:themeTint="BF"/>
        </w:rPr>
        <w:lastRenderedPageBreak/>
        <w:t xml:space="preserve">As a parent, may I refuse to have newborn screening done? </w:t>
      </w:r>
    </w:p>
    <w:p w:rsidR="009628C4" w:rsidRPr="001F47D9" w:rsidRDefault="009628C4" w:rsidP="00280205">
      <w:pPr>
        <w:pStyle w:val="NoSpacing"/>
        <w:rPr>
          <w:rFonts w:ascii="Arial" w:hAnsi="Arial" w:cs="Arial"/>
          <w:b/>
          <w:color w:val="404040" w:themeColor="text1" w:themeTint="BF"/>
        </w:rPr>
      </w:pPr>
      <w:r w:rsidRPr="001F47D9">
        <w:rPr>
          <w:rFonts w:ascii="Arial" w:hAnsi="Arial" w:cs="Arial"/>
          <w:color w:val="404040" w:themeColor="text1" w:themeTint="BF"/>
        </w:rPr>
        <w:t>The law gives parents the right to refuse the screening tests for their baby only if this testing conflicts with their religious beliefs or practices. If this is true for you, be sure to tell the hospital staff or your health care provider.</w:t>
      </w:r>
    </w:p>
    <w:p w:rsidR="009628C4" w:rsidRPr="001F47D9" w:rsidRDefault="009628C4" w:rsidP="00280205">
      <w:pPr>
        <w:pStyle w:val="NoSpacing"/>
        <w:rPr>
          <w:rFonts w:ascii="Arial" w:hAnsi="Arial" w:cs="Arial"/>
          <w:b/>
          <w:color w:val="404040" w:themeColor="text1" w:themeTint="BF"/>
        </w:rPr>
      </w:pPr>
    </w:p>
    <w:p w:rsidR="009628C4" w:rsidRPr="001F47D9" w:rsidRDefault="009628C4" w:rsidP="00280205">
      <w:pPr>
        <w:pStyle w:val="NoSpacing"/>
        <w:rPr>
          <w:rFonts w:ascii="Arial" w:hAnsi="Arial" w:cs="Arial"/>
          <w:b/>
          <w:color w:val="404040" w:themeColor="text1" w:themeTint="BF"/>
        </w:rPr>
      </w:pPr>
      <w:r w:rsidRPr="001F47D9">
        <w:rPr>
          <w:rFonts w:ascii="Arial" w:hAnsi="Arial" w:cs="Arial"/>
          <w:b/>
          <w:color w:val="404040" w:themeColor="text1" w:themeTint="BF"/>
        </w:rPr>
        <w:t xml:space="preserve">How can I find out the results? </w:t>
      </w:r>
    </w:p>
    <w:p w:rsidR="009628C4" w:rsidRPr="001F47D9" w:rsidRDefault="009628C4" w:rsidP="00280205">
      <w:pPr>
        <w:pStyle w:val="NoSpacing"/>
        <w:rPr>
          <w:rFonts w:ascii="Arial" w:hAnsi="Arial" w:cs="Arial"/>
          <w:b/>
          <w:color w:val="404040" w:themeColor="text1" w:themeTint="BF"/>
        </w:rPr>
      </w:pPr>
      <w:r w:rsidRPr="001F47D9">
        <w:rPr>
          <w:rFonts w:ascii="Arial" w:hAnsi="Arial" w:cs="Arial"/>
          <w:color w:val="404040" w:themeColor="text1" w:themeTint="BF"/>
        </w:rPr>
        <w:t>If you have questions about the results from your baby's screening tests, please contact your health care provider. If your health care provider does not have the results, he or she should contact the Newborn Screening Program to obtain a copy.</w:t>
      </w:r>
    </w:p>
    <w:p w:rsidR="009628C4" w:rsidRPr="001F47D9" w:rsidRDefault="009628C4" w:rsidP="00280205">
      <w:pPr>
        <w:pStyle w:val="NoSpacing"/>
        <w:rPr>
          <w:rFonts w:ascii="Arial" w:hAnsi="Arial" w:cs="Arial"/>
          <w:b/>
          <w:color w:val="404040" w:themeColor="text1" w:themeTint="BF"/>
        </w:rPr>
      </w:pPr>
    </w:p>
    <w:p w:rsidR="009628C4" w:rsidRPr="001F47D9" w:rsidRDefault="009628C4" w:rsidP="00280205">
      <w:pPr>
        <w:pStyle w:val="NoSpacing"/>
        <w:rPr>
          <w:rFonts w:ascii="Arial" w:hAnsi="Arial" w:cs="Arial"/>
          <w:b/>
          <w:color w:val="404040" w:themeColor="text1" w:themeTint="BF"/>
        </w:rPr>
      </w:pPr>
    </w:p>
    <w:p w:rsidR="009628C4" w:rsidRPr="001F47D9" w:rsidRDefault="009628C4" w:rsidP="00280205">
      <w:pPr>
        <w:pStyle w:val="NoSpacing"/>
        <w:rPr>
          <w:rFonts w:ascii="Arial" w:hAnsi="Arial" w:cs="Arial"/>
          <w:b/>
          <w:color w:val="404040" w:themeColor="text1" w:themeTint="BF"/>
        </w:rPr>
        <w:sectPr w:rsidR="009628C4" w:rsidRPr="001F47D9" w:rsidSect="00280205">
          <w:pgSz w:w="12240" w:h="15840"/>
          <w:pgMar w:top="720" w:right="1008" w:bottom="720" w:left="1008" w:header="720" w:footer="720" w:gutter="0"/>
          <w:cols w:space="720"/>
          <w:docGrid w:linePitch="360"/>
        </w:sectPr>
      </w:pPr>
    </w:p>
    <w:p w:rsidR="00280205" w:rsidRPr="001F47D9" w:rsidRDefault="00280205" w:rsidP="00280205">
      <w:pPr>
        <w:pStyle w:val="NoSpacing"/>
        <w:rPr>
          <w:rFonts w:ascii="Arial" w:hAnsi="Arial" w:cs="Arial"/>
          <w:b/>
          <w:color w:val="404040" w:themeColor="text1" w:themeTint="BF"/>
        </w:rPr>
      </w:pPr>
      <w:r w:rsidRPr="001F47D9">
        <w:rPr>
          <w:rFonts w:ascii="Arial" w:hAnsi="Arial" w:cs="Arial"/>
          <w:b/>
          <w:color w:val="404040" w:themeColor="text1" w:themeTint="BF"/>
        </w:rPr>
        <w:lastRenderedPageBreak/>
        <w:t>What disorders are detected?</w:t>
      </w:r>
    </w:p>
    <w:p w:rsidR="00280205" w:rsidRPr="001F47D9" w:rsidRDefault="00280205" w:rsidP="00280205">
      <w:pPr>
        <w:pStyle w:val="NoSpacing"/>
        <w:rPr>
          <w:rFonts w:ascii="Arial" w:hAnsi="Arial" w:cs="Arial"/>
          <w:b/>
          <w:color w:val="404040" w:themeColor="text1" w:themeTint="BF"/>
        </w:rPr>
      </w:pPr>
      <w:r w:rsidRPr="001F47D9">
        <w:rPr>
          <w:rFonts w:ascii="Arial" w:hAnsi="Arial" w:cs="Arial"/>
          <w:b/>
          <w:color w:val="404040" w:themeColor="text1" w:themeTint="BF"/>
        </w:rPr>
        <w:t>Screening Tests:</w:t>
      </w:r>
    </w:p>
    <w:p w:rsidR="00280205" w:rsidRPr="001F47D9" w:rsidRDefault="00280205" w:rsidP="00280205">
      <w:pPr>
        <w:pStyle w:val="NoSpacing"/>
        <w:rPr>
          <w:rFonts w:ascii="Arial" w:hAnsi="Arial" w:cs="Arial"/>
          <w:b/>
          <w:color w:val="404040" w:themeColor="text1" w:themeTint="BF"/>
        </w:rPr>
      </w:pPr>
    </w:p>
    <w:p w:rsidR="009628C4" w:rsidRPr="001F47D9" w:rsidRDefault="009628C4" w:rsidP="00280205">
      <w:pPr>
        <w:pStyle w:val="NoSpacing"/>
        <w:rPr>
          <w:rFonts w:ascii="Arial" w:hAnsi="Arial" w:cs="Arial"/>
          <w:b/>
          <w:color w:val="404040" w:themeColor="text1" w:themeTint="BF"/>
        </w:rPr>
        <w:sectPr w:rsidR="009628C4" w:rsidRPr="001F47D9" w:rsidSect="009628C4">
          <w:type w:val="continuous"/>
          <w:pgSz w:w="12240" w:h="15840"/>
          <w:pgMar w:top="720" w:right="1008" w:bottom="720" w:left="1008" w:header="720" w:footer="720" w:gutter="0"/>
          <w:cols w:space="720"/>
          <w:docGrid w:linePitch="360"/>
        </w:sectPr>
      </w:pPr>
    </w:p>
    <w:p w:rsidR="00280205" w:rsidRPr="001F47D9" w:rsidRDefault="00280205" w:rsidP="00280205">
      <w:pPr>
        <w:pStyle w:val="NoSpacing"/>
        <w:rPr>
          <w:rFonts w:ascii="Arial" w:hAnsi="Arial" w:cs="Arial"/>
          <w:b/>
          <w:color w:val="404040" w:themeColor="text1" w:themeTint="BF"/>
        </w:rPr>
      </w:pPr>
      <w:r w:rsidRPr="001F47D9">
        <w:rPr>
          <w:rFonts w:ascii="Arial" w:hAnsi="Arial" w:cs="Arial"/>
          <w:b/>
          <w:color w:val="404040" w:themeColor="text1" w:themeTint="BF"/>
        </w:rPr>
        <w:lastRenderedPageBreak/>
        <w:t>Amino acid disorders</w:t>
      </w:r>
    </w:p>
    <w:p w:rsidR="00280205"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argininosuccinic</w:t>
      </w:r>
      <w:proofErr w:type="spellEnd"/>
      <w:proofErr w:type="gramEnd"/>
      <w:r w:rsidRPr="001F47D9">
        <w:rPr>
          <w:rFonts w:ascii="Arial" w:hAnsi="Arial" w:cs="Arial"/>
          <w:color w:val="404040" w:themeColor="text1" w:themeTint="BF"/>
        </w:rPr>
        <w:t xml:space="preserve"> </w:t>
      </w:r>
      <w:proofErr w:type="spellStart"/>
      <w:r w:rsidRPr="001F47D9">
        <w:rPr>
          <w:rFonts w:ascii="Arial" w:hAnsi="Arial" w:cs="Arial"/>
          <w:color w:val="404040" w:themeColor="text1" w:themeTint="BF"/>
        </w:rPr>
        <w:t>acidemia</w:t>
      </w:r>
      <w:proofErr w:type="spellEnd"/>
      <w:r w:rsidRPr="001F47D9">
        <w:rPr>
          <w:rFonts w:ascii="Arial" w:hAnsi="Arial" w:cs="Arial"/>
          <w:color w:val="404040" w:themeColor="text1" w:themeTint="BF"/>
        </w:rPr>
        <w:t xml:space="preserve"> (ASA) </w:t>
      </w:r>
    </w:p>
    <w:p w:rsidR="00280205"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citrullinemia</w:t>
      </w:r>
      <w:proofErr w:type="spellEnd"/>
      <w:proofErr w:type="gramEnd"/>
      <w:r w:rsidRPr="001F47D9">
        <w:rPr>
          <w:rFonts w:ascii="Arial" w:hAnsi="Arial" w:cs="Arial"/>
          <w:color w:val="404040" w:themeColor="text1" w:themeTint="BF"/>
        </w:rPr>
        <w:t xml:space="preserve"> (CIT) </w:t>
      </w:r>
    </w:p>
    <w:p w:rsidR="00280205"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homocystinuria</w:t>
      </w:r>
      <w:proofErr w:type="spellEnd"/>
      <w:proofErr w:type="gramEnd"/>
      <w:r w:rsidRPr="001F47D9">
        <w:rPr>
          <w:rFonts w:ascii="Arial" w:hAnsi="Arial" w:cs="Arial"/>
          <w:color w:val="404040" w:themeColor="text1" w:themeTint="BF"/>
        </w:rPr>
        <w:t xml:space="preserve"> (HCY)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maple</w:t>
      </w:r>
      <w:proofErr w:type="gramEnd"/>
      <w:r w:rsidRPr="001F47D9">
        <w:rPr>
          <w:rFonts w:ascii="Arial" w:hAnsi="Arial" w:cs="Arial"/>
          <w:color w:val="404040" w:themeColor="text1" w:themeTint="BF"/>
        </w:rPr>
        <w:t xml:space="preserve"> syrup urine disease (MSUD)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phenylketonuria</w:t>
      </w:r>
      <w:proofErr w:type="gramEnd"/>
      <w:r w:rsidRPr="001F47D9">
        <w:rPr>
          <w:rFonts w:ascii="Arial" w:hAnsi="Arial" w:cs="Arial"/>
          <w:color w:val="404040" w:themeColor="text1" w:themeTint="BF"/>
        </w:rPr>
        <w:t xml:space="preserve"> (PKU) </w:t>
      </w:r>
    </w:p>
    <w:p w:rsidR="00280205"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tyrosinemiatype</w:t>
      </w:r>
      <w:proofErr w:type="spellEnd"/>
      <w:proofErr w:type="gramEnd"/>
      <w:r w:rsidRPr="001F47D9">
        <w:rPr>
          <w:rFonts w:ascii="Arial" w:hAnsi="Arial" w:cs="Arial"/>
          <w:color w:val="404040" w:themeColor="text1" w:themeTint="BF"/>
        </w:rPr>
        <w:t xml:space="preserve"> 1 (TYR-I)</w:t>
      </w:r>
    </w:p>
    <w:p w:rsidR="00280205" w:rsidRPr="001F47D9" w:rsidRDefault="00280205" w:rsidP="00280205">
      <w:pPr>
        <w:pStyle w:val="NoSpacing"/>
        <w:rPr>
          <w:rFonts w:ascii="Arial" w:hAnsi="Arial" w:cs="Arial"/>
          <w:color w:val="404040" w:themeColor="text1" w:themeTint="BF"/>
        </w:rPr>
      </w:pPr>
    </w:p>
    <w:p w:rsidR="00280205" w:rsidRPr="001F47D9" w:rsidRDefault="00280205" w:rsidP="00280205">
      <w:pPr>
        <w:pStyle w:val="NoSpacing"/>
        <w:rPr>
          <w:rFonts w:ascii="Arial" w:hAnsi="Arial" w:cs="Arial"/>
          <w:color w:val="404040" w:themeColor="text1" w:themeTint="BF"/>
        </w:rPr>
      </w:pPr>
      <w:r w:rsidRPr="001F47D9">
        <w:rPr>
          <w:rFonts w:ascii="Arial" w:hAnsi="Arial" w:cs="Arial"/>
          <w:b/>
          <w:color w:val="404040" w:themeColor="text1" w:themeTint="BF"/>
        </w:rPr>
        <w:t>Fatty acid disorders</w:t>
      </w:r>
      <w:r w:rsidRPr="001F47D9">
        <w:rPr>
          <w:rFonts w:ascii="Arial" w:hAnsi="Arial" w:cs="Arial"/>
          <w:color w:val="404040" w:themeColor="text1" w:themeTint="BF"/>
        </w:rPr>
        <w:t xml:space="preserve">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carnitine</w:t>
      </w:r>
      <w:proofErr w:type="gramEnd"/>
      <w:r w:rsidRPr="001F47D9">
        <w:rPr>
          <w:rFonts w:ascii="Arial" w:hAnsi="Arial" w:cs="Arial"/>
          <w:color w:val="404040" w:themeColor="text1" w:themeTint="BF"/>
        </w:rPr>
        <w:t xml:space="preserve"> uptake deficiency (CUD)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long-chain</w:t>
      </w:r>
      <w:proofErr w:type="gramEnd"/>
      <w:r w:rsidRPr="001F47D9">
        <w:rPr>
          <w:rFonts w:ascii="Arial" w:hAnsi="Arial" w:cs="Arial"/>
          <w:color w:val="404040" w:themeColor="text1" w:themeTint="BF"/>
        </w:rPr>
        <w:t xml:space="preserve"> L-3-hydroxy acyl-CoA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dehydrogenase</w:t>
      </w:r>
      <w:proofErr w:type="gramEnd"/>
      <w:r w:rsidRPr="001F47D9">
        <w:rPr>
          <w:rFonts w:ascii="Arial" w:hAnsi="Arial" w:cs="Arial"/>
          <w:color w:val="404040" w:themeColor="text1" w:themeTint="BF"/>
        </w:rPr>
        <w:t xml:space="preserve"> (LCHAD)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deficiency</w:t>
      </w:r>
      <w:proofErr w:type="gramEnd"/>
      <w:r w:rsidRPr="001F47D9">
        <w:rPr>
          <w:rFonts w:ascii="Arial" w:hAnsi="Arial" w:cs="Arial"/>
          <w:color w:val="404040" w:themeColor="text1" w:themeTint="BF"/>
        </w:rPr>
        <w:t xml:space="preserve"> medium-chain acyl-CoA dehydrogenase (MCAD)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deficiency</w:t>
      </w:r>
      <w:proofErr w:type="gramEnd"/>
      <w:r w:rsidRPr="001F47D9">
        <w:rPr>
          <w:rFonts w:ascii="Arial" w:hAnsi="Arial" w:cs="Arial"/>
          <w:color w:val="404040" w:themeColor="text1" w:themeTint="BF"/>
        </w:rPr>
        <w:t xml:space="preserve"> trifunctional protein (TFP)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deficiency</w:t>
      </w:r>
      <w:proofErr w:type="gramEnd"/>
      <w:r w:rsidRPr="001F47D9">
        <w:rPr>
          <w:rFonts w:ascii="Arial" w:hAnsi="Arial" w:cs="Arial"/>
          <w:color w:val="404040" w:themeColor="text1" w:themeTint="BF"/>
        </w:rPr>
        <w:t xml:space="preserve"> very-long chain acyl-CoA dehydrogenase (VLCAD) deficiency </w:t>
      </w:r>
    </w:p>
    <w:p w:rsidR="00280205" w:rsidRPr="001F47D9" w:rsidRDefault="00280205" w:rsidP="00280205">
      <w:pPr>
        <w:pStyle w:val="NoSpacing"/>
        <w:rPr>
          <w:rFonts w:ascii="Arial" w:hAnsi="Arial" w:cs="Arial"/>
          <w:color w:val="404040" w:themeColor="text1" w:themeTint="BF"/>
        </w:rPr>
      </w:pPr>
    </w:p>
    <w:p w:rsidR="00280205" w:rsidRPr="001F47D9" w:rsidRDefault="00280205" w:rsidP="00280205">
      <w:pPr>
        <w:pStyle w:val="NoSpacing"/>
        <w:rPr>
          <w:rFonts w:ascii="Arial" w:hAnsi="Arial" w:cs="Arial"/>
          <w:color w:val="404040" w:themeColor="text1" w:themeTint="BF"/>
        </w:rPr>
      </w:pPr>
      <w:r w:rsidRPr="001F47D9">
        <w:rPr>
          <w:rFonts w:ascii="Arial" w:hAnsi="Arial" w:cs="Arial"/>
          <w:b/>
          <w:color w:val="404040" w:themeColor="text1" w:themeTint="BF"/>
        </w:rPr>
        <w:lastRenderedPageBreak/>
        <w:t>Organic acid disorders</w:t>
      </w:r>
      <w:r w:rsidRPr="001F47D9">
        <w:rPr>
          <w:rFonts w:ascii="Arial" w:hAnsi="Arial" w:cs="Arial"/>
          <w:color w:val="404040" w:themeColor="text1" w:themeTint="BF"/>
        </w:rPr>
        <w:t xml:space="preserve"> </w:t>
      </w:r>
    </w:p>
    <w:p w:rsidR="003B09B1" w:rsidRPr="001F47D9" w:rsidRDefault="00280205" w:rsidP="00280205">
      <w:pPr>
        <w:pStyle w:val="NoSpacing"/>
        <w:rPr>
          <w:rFonts w:ascii="Arial" w:hAnsi="Arial" w:cs="Arial"/>
          <w:color w:val="404040" w:themeColor="text1" w:themeTint="BF"/>
        </w:rPr>
      </w:pPr>
      <w:r w:rsidRPr="001F47D9">
        <w:rPr>
          <w:rFonts w:ascii="Arial" w:hAnsi="Arial" w:cs="Arial"/>
          <w:color w:val="404040" w:themeColor="text1" w:themeTint="BF"/>
        </w:rPr>
        <w:t xml:space="preserve">3-hydroxy-3-methylglutaric aciduria (HMG) </w:t>
      </w:r>
    </w:p>
    <w:p w:rsidR="003B09B1"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beta-</w:t>
      </w:r>
      <w:proofErr w:type="spellStart"/>
      <w:r w:rsidRPr="001F47D9">
        <w:rPr>
          <w:rFonts w:ascii="Arial" w:hAnsi="Arial" w:cs="Arial"/>
          <w:color w:val="404040" w:themeColor="text1" w:themeTint="BF"/>
        </w:rPr>
        <w:t>ketothiolase</w:t>
      </w:r>
      <w:proofErr w:type="spellEnd"/>
      <w:proofErr w:type="gramEnd"/>
      <w:r w:rsidRPr="001F47D9">
        <w:rPr>
          <w:rFonts w:ascii="Arial" w:hAnsi="Arial" w:cs="Arial"/>
          <w:color w:val="404040" w:themeColor="text1" w:themeTint="BF"/>
        </w:rPr>
        <w:t xml:space="preserve"> deficiency (BKT) </w:t>
      </w:r>
    </w:p>
    <w:p w:rsidR="003B09B1"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glutaric</w:t>
      </w:r>
      <w:proofErr w:type="spellEnd"/>
      <w:proofErr w:type="gramEnd"/>
      <w:r w:rsidRPr="001F47D9">
        <w:rPr>
          <w:rFonts w:ascii="Arial" w:hAnsi="Arial" w:cs="Arial"/>
          <w:color w:val="404040" w:themeColor="text1" w:themeTint="BF"/>
        </w:rPr>
        <w:t xml:space="preserve"> </w:t>
      </w:r>
      <w:proofErr w:type="spellStart"/>
      <w:r w:rsidRPr="001F47D9">
        <w:rPr>
          <w:rFonts w:ascii="Arial" w:hAnsi="Arial" w:cs="Arial"/>
          <w:color w:val="404040" w:themeColor="text1" w:themeTint="BF"/>
        </w:rPr>
        <w:t>acidemia</w:t>
      </w:r>
      <w:proofErr w:type="spellEnd"/>
      <w:r w:rsidRPr="001F47D9">
        <w:rPr>
          <w:rFonts w:ascii="Arial" w:hAnsi="Arial" w:cs="Arial"/>
          <w:color w:val="404040" w:themeColor="text1" w:themeTint="BF"/>
        </w:rPr>
        <w:t xml:space="preserve"> type 1 (GA-I) </w:t>
      </w:r>
    </w:p>
    <w:p w:rsidR="003B09B1"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isovaleric</w:t>
      </w:r>
      <w:proofErr w:type="spellEnd"/>
      <w:proofErr w:type="gramEnd"/>
      <w:r w:rsidRPr="001F47D9">
        <w:rPr>
          <w:rFonts w:ascii="Arial" w:hAnsi="Arial" w:cs="Arial"/>
          <w:color w:val="404040" w:themeColor="text1" w:themeTint="BF"/>
        </w:rPr>
        <w:t xml:space="preserve"> </w:t>
      </w:r>
      <w:proofErr w:type="spellStart"/>
      <w:r w:rsidRPr="001F47D9">
        <w:rPr>
          <w:rFonts w:ascii="Arial" w:hAnsi="Arial" w:cs="Arial"/>
          <w:color w:val="404040" w:themeColor="text1" w:themeTint="BF"/>
        </w:rPr>
        <w:t>acidemia</w:t>
      </w:r>
      <w:proofErr w:type="spellEnd"/>
      <w:r w:rsidRPr="001F47D9">
        <w:rPr>
          <w:rFonts w:ascii="Arial" w:hAnsi="Arial" w:cs="Arial"/>
          <w:color w:val="404040" w:themeColor="text1" w:themeTint="BF"/>
        </w:rPr>
        <w:t xml:space="preserve"> (IVA) </w:t>
      </w:r>
    </w:p>
    <w:p w:rsidR="003B09B1"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methylmalonic</w:t>
      </w:r>
      <w:proofErr w:type="spellEnd"/>
      <w:proofErr w:type="gramEnd"/>
      <w:r w:rsidRPr="001F47D9">
        <w:rPr>
          <w:rFonts w:ascii="Arial" w:hAnsi="Arial" w:cs="Arial"/>
          <w:color w:val="404040" w:themeColor="text1" w:themeTint="BF"/>
        </w:rPr>
        <w:t xml:space="preserve"> </w:t>
      </w:r>
      <w:proofErr w:type="spellStart"/>
      <w:r w:rsidRPr="001F47D9">
        <w:rPr>
          <w:rFonts w:ascii="Arial" w:hAnsi="Arial" w:cs="Arial"/>
          <w:color w:val="404040" w:themeColor="text1" w:themeTint="BF"/>
        </w:rPr>
        <w:t>acidemias</w:t>
      </w:r>
      <w:proofErr w:type="spellEnd"/>
      <w:r w:rsidRPr="001F47D9">
        <w:rPr>
          <w:rFonts w:ascii="Arial" w:hAnsi="Arial" w:cs="Arial"/>
          <w:color w:val="404040" w:themeColor="text1" w:themeTint="BF"/>
        </w:rPr>
        <w:t xml:space="preserve"> (</w:t>
      </w:r>
      <w:proofErr w:type="spellStart"/>
      <w:r w:rsidRPr="001F47D9">
        <w:rPr>
          <w:rFonts w:ascii="Arial" w:hAnsi="Arial" w:cs="Arial"/>
          <w:color w:val="404040" w:themeColor="text1" w:themeTint="BF"/>
        </w:rPr>
        <w:t>CblA,B</w:t>
      </w:r>
      <w:proofErr w:type="spellEnd"/>
      <w:r w:rsidRPr="001F47D9">
        <w:rPr>
          <w:rFonts w:ascii="Arial" w:hAnsi="Arial" w:cs="Arial"/>
          <w:color w:val="404040" w:themeColor="text1" w:themeTint="BF"/>
        </w:rPr>
        <w:t xml:space="preserve"> and MUT) </w:t>
      </w:r>
    </w:p>
    <w:p w:rsidR="003B09B1"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multiple</w:t>
      </w:r>
      <w:proofErr w:type="gramEnd"/>
      <w:r w:rsidRPr="001F47D9">
        <w:rPr>
          <w:rFonts w:ascii="Arial" w:hAnsi="Arial" w:cs="Arial"/>
          <w:color w:val="404040" w:themeColor="text1" w:themeTint="BF"/>
        </w:rPr>
        <w:t xml:space="preserve"> carboxylase deficiency (MCD) </w:t>
      </w:r>
    </w:p>
    <w:p w:rsidR="003B09B1"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propionic</w:t>
      </w:r>
      <w:proofErr w:type="gramEnd"/>
      <w:r w:rsidRPr="001F47D9">
        <w:rPr>
          <w:rFonts w:ascii="Arial" w:hAnsi="Arial" w:cs="Arial"/>
          <w:color w:val="404040" w:themeColor="text1" w:themeTint="BF"/>
        </w:rPr>
        <w:t xml:space="preserve"> </w:t>
      </w:r>
      <w:proofErr w:type="spellStart"/>
      <w:r w:rsidRPr="001F47D9">
        <w:rPr>
          <w:rFonts w:ascii="Arial" w:hAnsi="Arial" w:cs="Arial"/>
          <w:color w:val="404040" w:themeColor="text1" w:themeTint="BF"/>
        </w:rPr>
        <w:t>acidemia</w:t>
      </w:r>
      <w:proofErr w:type="spellEnd"/>
      <w:r w:rsidRPr="001F47D9">
        <w:rPr>
          <w:rFonts w:ascii="Arial" w:hAnsi="Arial" w:cs="Arial"/>
          <w:color w:val="404040" w:themeColor="text1" w:themeTint="BF"/>
        </w:rPr>
        <w:t xml:space="preserve"> (PROP) </w:t>
      </w:r>
    </w:p>
    <w:p w:rsidR="003B09B1" w:rsidRPr="001F47D9" w:rsidRDefault="003B09B1" w:rsidP="00280205">
      <w:pPr>
        <w:pStyle w:val="NoSpacing"/>
        <w:rPr>
          <w:rFonts w:ascii="Arial" w:hAnsi="Arial" w:cs="Arial"/>
          <w:color w:val="404040" w:themeColor="text1" w:themeTint="BF"/>
        </w:rPr>
      </w:pPr>
    </w:p>
    <w:p w:rsidR="003B09B1" w:rsidRPr="001F47D9" w:rsidRDefault="00280205" w:rsidP="00280205">
      <w:pPr>
        <w:pStyle w:val="NoSpacing"/>
        <w:rPr>
          <w:rFonts w:ascii="Arial" w:hAnsi="Arial" w:cs="Arial"/>
          <w:color w:val="404040" w:themeColor="text1" w:themeTint="BF"/>
        </w:rPr>
      </w:pPr>
      <w:r w:rsidRPr="001F47D9">
        <w:rPr>
          <w:rFonts w:ascii="Arial" w:hAnsi="Arial" w:cs="Arial"/>
          <w:b/>
          <w:color w:val="404040" w:themeColor="text1" w:themeTint="BF"/>
        </w:rPr>
        <w:t>Other disorders</w:t>
      </w:r>
      <w:r w:rsidRPr="001F47D9">
        <w:rPr>
          <w:rFonts w:ascii="Arial" w:hAnsi="Arial" w:cs="Arial"/>
          <w:color w:val="404040" w:themeColor="text1" w:themeTint="BF"/>
        </w:rPr>
        <w:t xml:space="preserve"> </w:t>
      </w:r>
    </w:p>
    <w:p w:rsidR="003B09B1"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biotinidase</w:t>
      </w:r>
      <w:proofErr w:type="spellEnd"/>
      <w:proofErr w:type="gramEnd"/>
      <w:r w:rsidRPr="001F47D9">
        <w:rPr>
          <w:rFonts w:ascii="Arial" w:hAnsi="Arial" w:cs="Arial"/>
          <w:color w:val="404040" w:themeColor="text1" w:themeTint="BF"/>
        </w:rPr>
        <w:t xml:space="preserve"> deficiency (BIOT) </w:t>
      </w:r>
    </w:p>
    <w:p w:rsidR="003B09B1"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congenital</w:t>
      </w:r>
      <w:proofErr w:type="gramEnd"/>
      <w:r w:rsidRPr="001F47D9">
        <w:rPr>
          <w:rFonts w:ascii="Arial" w:hAnsi="Arial" w:cs="Arial"/>
          <w:color w:val="404040" w:themeColor="text1" w:themeTint="BF"/>
        </w:rPr>
        <w:t xml:space="preserve"> adrenal hyperplasia (CAH) </w:t>
      </w:r>
    </w:p>
    <w:p w:rsidR="003B09B1"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congenital</w:t>
      </w:r>
      <w:proofErr w:type="gramEnd"/>
      <w:r w:rsidRPr="001F47D9">
        <w:rPr>
          <w:rFonts w:ascii="Arial" w:hAnsi="Arial" w:cs="Arial"/>
          <w:color w:val="404040" w:themeColor="text1" w:themeTint="BF"/>
        </w:rPr>
        <w:t xml:space="preserve"> hypothyroidism (CH) </w:t>
      </w:r>
    </w:p>
    <w:p w:rsidR="003B09B1"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cystic</w:t>
      </w:r>
      <w:proofErr w:type="gramEnd"/>
      <w:r w:rsidRPr="001F47D9">
        <w:rPr>
          <w:rFonts w:ascii="Arial" w:hAnsi="Arial" w:cs="Arial"/>
          <w:color w:val="404040" w:themeColor="text1" w:themeTint="BF"/>
        </w:rPr>
        <w:t xml:space="preserve"> fibrosis (CF) </w:t>
      </w:r>
    </w:p>
    <w:p w:rsidR="003B09B1"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galactosemia</w:t>
      </w:r>
      <w:proofErr w:type="spellEnd"/>
      <w:proofErr w:type="gramEnd"/>
      <w:r w:rsidRPr="001F47D9">
        <w:rPr>
          <w:rFonts w:ascii="Arial" w:hAnsi="Arial" w:cs="Arial"/>
          <w:color w:val="404040" w:themeColor="text1" w:themeTint="BF"/>
        </w:rPr>
        <w:t xml:space="preserve"> (GALT) </w:t>
      </w:r>
    </w:p>
    <w:p w:rsidR="003B09B1" w:rsidRPr="001F47D9" w:rsidRDefault="00280205" w:rsidP="00280205">
      <w:pPr>
        <w:pStyle w:val="NoSpacing"/>
        <w:rPr>
          <w:rFonts w:ascii="Arial" w:hAnsi="Arial" w:cs="Arial"/>
          <w:color w:val="404040" w:themeColor="text1" w:themeTint="BF"/>
        </w:rPr>
      </w:pPr>
      <w:proofErr w:type="spellStart"/>
      <w:proofErr w:type="gramStart"/>
      <w:r w:rsidRPr="001F47D9">
        <w:rPr>
          <w:rFonts w:ascii="Arial" w:hAnsi="Arial" w:cs="Arial"/>
          <w:color w:val="404040" w:themeColor="text1" w:themeTint="BF"/>
        </w:rPr>
        <w:t>hemoglobinopathies</w:t>
      </w:r>
      <w:proofErr w:type="spellEnd"/>
      <w:proofErr w:type="gramEnd"/>
      <w:r w:rsidRPr="001F47D9">
        <w:rPr>
          <w:rFonts w:ascii="Arial" w:hAnsi="Arial" w:cs="Arial"/>
          <w:color w:val="404040" w:themeColor="text1" w:themeTint="BF"/>
        </w:rPr>
        <w:t xml:space="preserve"> (</w:t>
      </w:r>
      <w:proofErr w:type="spellStart"/>
      <w:r w:rsidRPr="001F47D9">
        <w:rPr>
          <w:rFonts w:ascii="Arial" w:hAnsi="Arial" w:cs="Arial"/>
          <w:color w:val="404040" w:themeColor="text1" w:themeTint="BF"/>
        </w:rPr>
        <w:t>Hb</w:t>
      </w:r>
      <w:proofErr w:type="spellEnd"/>
      <w:r w:rsidRPr="001F47D9">
        <w:rPr>
          <w:rFonts w:ascii="Arial" w:hAnsi="Arial" w:cs="Arial"/>
          <w:color w:val="404040" w:themeColor="text1" w:themeTint="BF"/>
        </w:rPr>
        <w:t xml:space="preserve">) </w:t>
      </w:r>
    </w:p>
    <w:p w:rsidR="00280205" w:rsidRPr="001F47D9" w:rsidRDefault="00280205" w:rsidP="00280205">
      <w:pPr>
        <w:pStyle w:val="NoSpacing"/>
        <w:rPr>
          <w:rFonts w:ascii="Arial" w:hAnsi="Arial" w:cs="Arial"/>
          <w:color w:val="404040" w:themeColor="text1" w:themeTint="BF"/>
        </w:rPr>
      </w:pPr>
      <w:proofErr w:type="gramStart"/>
      <w:r w:rsidRPr="001F47D9">
        <w:rPr>
          <w:rFonts w:ascii="Arial" w:hAnsi="Arial" w:cs="Arial"/>
          <w:color w:val="404040" w:themeColor="text1" w:themeTint="BF"/>
        </w:rPr>
        <w:t>severe</w:t>
      </w:r>
      <w:proofErr w:type="gramEnd"/>
      <w:r w:rsidRPr="001F47D9">
        <w:rPr>
          <w:rFonts w:ascii="Arial" w:hAnsi="Arial" w:cs="Arial"/>
          <w:color w:val="404040" w:themeColor="text1" w:themeTint="BF"/>
        </w:rPr>
        <w:t xml:space="preserve"> combined immunodeficiency (SCID)</w:t>
      </w:r>
    </w:p>
    <w:p w:rsidR="001F47D9" w:rsidRDefault="001F47D9" w:rsidP="00280205">
      <w:pPr>
        <w:pStyle w:val="NoSpacing"/>
        <w:rPr>
          <w:rFonts w:ascii="Arial" w:hAnsi="Arial" w:cs="Arial"/>
          <w:color w:val="404040" w:themeColor="text1" w:themeTint="BF"/>
        </w:rPr>
        <w:sectPr w:rsidR="001F47D9" w:rsidSect="001F47D9">
          <w:type w:val="continuous"/>
          <w:pgSz w:w="12240" w:h="15840"/>
          <w:pgMar w:top="720" w:right="1008" w:bottom="720" w:left="1008" w:header="720" w:footer="720" w:gutter="0"/>
          <w:cols w:num="2" w:space="720"/>
          <w:docGrid w:linePitch="360"/>
        </w:sectPr>
      </w:pPr>
    </w:p>
    <w:p w:rsidR="00312076" w:rsidRDefault="00312076" w:rsidP="00280205">
      <w:pPr>
        <w:pStyle w:val="NoSpacing"/>
        <w:rPr>
          <w:rFonts w:ascii="Arial" w:hAnsi="Arial" w:cs="Arial"/>
          <w:color w:val="404040" w:themeColor="text1" w:themeTint="BF"/>
        </w:rPr>
      </w:pPr>
    </w:p>
    <w:p w:rsidR="009628C4" w:rsidRPr="001F47D9" w:rsidRDefault="009628C4" w:rsidP="00280205">
      <w:pPr>
        <w:pStyle w:val="NoSpacing"/>
        <w:rPr>
          <w:rFonts w:ascii="Arial" w:hAnsi="Arial" w:cs="Arial"/>
          <w:color w:val="404040" w:themeColor="text1" w:themeTint="BF"/>
        </w:rPr>
      </w:pPr>
      <w:r w:rsidRPr="001F47D9">
        <w:rPr>
          <w:rFonts w:ascii="Arial" w:hAnsi="Arial" w:cs="Arial"/>
          <w:color w:val="404040" w:themeColor="text1" w:themeTint="BF"/>
        </w:rPr>
        <w:t>For more information regarding the Newborn Metabolic Screen contact the Newborn Screening Program of Florida</w:t>
      </w:r>
    </w:p>
    <w:p w:rsidR="009628C4" w:rsidRPr="001F47D9" w:rsidRDefault="009628C4" w:rsidP="00280205">
      <w:pPr>
        <w:pStyle w:val="NoSpacing"/>
        <w:rPr>
          <w:rFonts w:ascii="Arial" w:hAnsi="Arial" w:cs="Arial"/>
          <w:color w:val="404040" w:themeColor="text1" w:themeTint="BF"/>
        </w:rPr>
      </w:pPr>
    </w:p>
    <w:p w:rsidR="001F47D9" w:rsidRPr="001F47D9" w:rsidRDefault="001F47D9" w:rsidP="001F47D9">
      <w:pPr>
        <w:pStyle w:val="NoSpacing"/>
        <w:rPr>
          <w:rFonts w:ascii="Arial" w:hAnsi="Arial" w:cs="Arial"/>
          <w:color w:val="404040" w:themeColor="text1" w:themeTint="BF"/>
        </w:rPr>
      </w:pPr>
      <w:r w:rsidRPr="001F47D9">
        <w:rPr>
          <w:rFonts w:ascii="Arial" w:hAnsi="Arial" w:cs="Arial"/>
          <w:b/>
          <w:color w:val="404040" w:themeColor="text1" w:themeTint="BF"/>
        </w:rPr>
        <w:t>Phone:</w:t>
      </w:r>
      <w:r w:rsidRPr="001F47D9">
        <w:rPr>
          <w:rFonts w:ascii="Arial" w:hAnsi="Arial" w:cs="Arial"/>
          <w:color w:val="404040" w:themeColor="text1" w:themeTint="BF"/>
        </w:rPr>
        <w:t xml:space="preserve"> </w:t>
      </w:r>
      <w:hyperlink r:id="rId6" w:history="1">
        <w:r w:rsidRPr="001F47D9">
          <w:rPr>
            <w:rStyle w:val="Hyperlink"/>
            <w:rFonts w:ascii="Arial" w:hAnsi="Arial" w:cs="Arial"/>
            <w:bCs/>
            <w:color w:val="404040" w:themeColor="text1" w:themeTint="BF"/>
            <w:u w:val="none"/>
            <w:shd w:val="clear" w:color="auto" w:fill="FFFFFF"/>
          </w:rPr>
          <w:t>850-245-4201</w:t>
        </w:r>
      </w:hyperlink>
    </w:p>
    <w:p w:rsidR="001F47D9" w:rsidRPr="001F47D9" w:rsidRDefault="001F47D9" w:rsidP="001F47D9">
      <w:pPr>
        <w:pStyle w:val="NoSpacing"/>
        <w:rPr>
          <w:rFonts w:ascii="Arial" w:hAnsi="Arial" w:cs="Arial"/>
          <w:color w:val="404040" w:themeColor="text1" w:themeTint="BF"/>
        </w:rPr>
      </w:pPr>
      <w:r w:rsidRPr="001F47D9">
        <w:rPr>
          <w:rFonts w:ascii="Arial" w:hAnsi="Arial" w:cs="Arial"/>
          <w:b/>
          <w:color w:val="404040" w:themeColor="text1" w:themeTint="BF"/>
        </w:rPr>
        <w:t xml:space="preserve">Email: </w:t>
      </w:r>
      <w:hyperlink r:id="rId7" w:history="1">
        <w:r w:rsidRPr="001F47D9">
          <w:rPr>
            <w:rStyle w:val="breakword"/>
            <w:rFonts w:ascii="Arial" w:hAnsi="Arial" w:cs="Arial"/>
            <w:color w:val="404040" w:themeColor="text1" w:themeTint="BF"/>
            <w:shd w:val="clear" w:color="auto" w:fill="FFFFFF"/>
          </w:rPr>
          <w:t>CMS.NBS@FLHealth.gov</w:t>
        </w:r>
      </w:hyperlink>
    </w:p>
    <w:p w:rsidR="009628C4" w:rsidRPr="001F47D9" w:rsidRDefault="009628C4" w:rsidP="001F47D9">
      <w:pPr>
        <w:pStyle w:val="NoSpacing"/>
        <w:rPr>
          <w:rFonts w:ascii="Arial" w:hAnsi="Arial" w:cs="Arial"/>
          <w:color w:val="404040" w:themeColor="text1" w:themeTint="BF"/>
        </w:rPr>
      </w:pPr>
      <w:r w:rsidRPr="001F47D9">
        <w:rPr>
          <w:rFonts w:ascii="Arial" w:hAnsi="Arial" w:cs="Arial"/>
          <w:b/>
          <w:color w:val="404040" w:themeColor="text1" w:themeTint="BF"/>
        </w:rPr>
        <w:t>Address:</w:t>
      </w:r>
      <w:r w:rsidRPr="001F47D9">
        <w:rPr>
          <w:rFonts w:ascii="Arial" w:hAnsi="Arial" w:cs="Arial"/>
          <w:color w:val="404040" w:themeColor="text1" w:themeTint="BF"/>
        </w:rPr>
        <w:t xml:space="preserve"> Newborn Screening Program </w:t>
      </w:r>
    </w:p>
    <w:p w:rsidR="009628C4" w:rsidRPr="001F47D9" w:rsidRDefault="009628C4" w:rsidP="001F47D9">
      <w:pPr>
        <w:pStyle w:val="NoSpacing"/>
        <w:rPr>
          <w:rFonts w:ascii="Arial" w:hAnsi="Arial" w:cs="Arial"/>
          <w:color w:val="404040" w:themeColor="text1" w:themeTint="BF"/>
        </w:rPr>
      </w:pPr>
      <w:r w:rsidRPr="001F47D9">
        <w:rPr>
          <w:rFonts w:ascii="Arial" w:hAnsi="Arial" w:cs="Arial"/>
          <w:color w:val="404040" w:themeColor="text1" w:themeTint="BF"/>
        </w:rPr>
        <w:t>4052 Bald Cypress Way, Bin A06 </w:t>
      </w:r>
    </w:p>
    <w:p w:rsidR="009628C4" w:rsidRPr="001F47D9" w:rsidRDefault="009628C4" w:rsidP="001F47D9">
      <w:pPr>
        <w:pStyle w:val="NoSpacing"/>
        <w:rPr>
          <w:rFonts w:ascii="Arial" w:hAnsi="Arial" w:cs="Arial"/>
          <w:color w:val="404040" w:themeColor="text1" w:themeTint="BF"/>
        </w:rPr>
      </w:pPr>
      <w:r w:rsidRPr="001F47D9">
        <w:rPr>
          <w:rFonts w:ascii="Arial" w:hAnsi="Arial" w:cs="Arial"/>
          <w:color w:val="404040" w:themeColor="text1" w:themeTint="BF"/>
        </w:rPr>
        <w:t>Tallahassee, FL 32399 </w:t>
      </w:r>
    </w:p>
    <w:p w:rsidR="009628C4" w:rsidRDefault="001F47D9" w:rsidP="00280205">
      <w:pPr>
        <w:pStyle w:val="NoSpacing"/>
        <w:rPr>
          <w:rFonts w:ascii="Arial" w:hAnsi="Arial" w:cs="Arial"/>
          <w:color w:val="404040" w:themeColor="text1" w:themeTint="BF"/>
        </w:rPr>
      </w:pPr>
      <w:r w:rsidRPr="001F47D9">
        <w:rPr>
          <w:rFonts w:ascii="Arial" w:hAnsi="Arial" w:cs="Arial"/>
          <w:b/>
          <w:color w:val="404040" w:themeColor="text1" w:themeTint="BF"/>
        </w:rPr>
        <w:t xml:space="preserve">Website: </w:t>
      </w:r>
      <w:hyperlink r:id="rId8" w:history="1">
        <w:r w:rsidR="002E0D99" w:rsidRPr="00921D18">
          <w:rPr>
            <w:rStyle w:val="Hyperlink"/>
            <w:rFonts w:ascii="Arial" w:hAnsi="Arial" w:cs="Arial"/>
            <w14:textFill>
              <w14:solidFill>
                <w14:srgbClr w14:val="0000FF">
                  <w14:lumMod w14:val="75000"/>
                  <w14:lumOff w14:val="25000"/>
                </w14:srgbClr>
              </w14:solidFill>
            </w14:textFill>
          </w:rPr>
          <w:t>http://www.floridahealth.gov/programs-and-services/childrens-health/newborn-screening/</w:t>
        </w:r>
      </w:hyperlink>
    </w:p>
    <w:p w:rsidR="002E0D99" w:rsidRDefault="002E0D99" w:rsidP="00280205">
      <w:pPr>
        <w:pStyle w:val="NoSpacing"/>
        <w:rPr>
          <w:rFonts w:ascii="Arial" w:hAnsi="Arial" w:cs="Arial"/>
          <w:color w:val="404040" w:themeColor="text1" w:themeTint="BF"/>
        </w:rPr>
      </w:pPr>
    </w:p>
    <w:p w:rsidR="002E0D99" w:rsidRPr="005A6EB5" w:rsidRDefault="002E0D99" w:rsidP="002E0D99">
      <w:pPr>
        <w:pStyle w:val="NoSpacing"/>
        <w:rPr>
          <w:rFonts w:ascii="Arial" w:hAnsi="Arial" w:cs="Arial"/>
        </w:rPr>
      </w:pPr>
      <w:r w:rsidRPr="002E0D99">
        <w:rPr>
          <w:rFonts w:ascii="Arial" w:hAnsi="Arial" w:cs="Arial"/>
          <w:b/>
          <w:color w:val="404040" w:themeColor="text1" w:themeTint="BF"/>
        </w:rPr>
        <w:t>Consent</w:t>
      </w:r>
      <w:r>
        <w:rPr>
          <w:rFonts w:ascii="Arial" w:hAnsi="Arial" w:cs="Arial"/>
          <w:color w:val="404040" w:themeColor="text1" w:themeTint="BF"/>
        </w:rPr>
        <w:t>: I have read and understand the importance of the newborn metabolic screen and understand why screening is recommended. I have been provided resources for further research and education regarding the newborn metabolic screening</w:t>
      </w:r>
      <w:r w:rsidRPr="005A6EB5">
        <w:rPr>
          <w:rFonts w:ascii="Arial" w:hAnsi="Arial" w:cs="Arial"/>
          <w:color w:val="404040" w:themeColor="text1" w:themeTint="BF"/>
        </w:rPr>
        <w:t xml:space="preserve">. I have read and understand this information and have had an opportunity to ask questions. I will in no way hold Growing Families liable for my decision. I am </w:t>
      </w:r>
      <w:r>
        <w:rPr>
          <w:rFonts w:ascii="Arial" w:hAnsi="Arial" w:cs="Arial"/>
          <w:color w:val="404040" w:themeColor="text1" w:themeTint="BF"/>
        </w:rPr>
        <w:t xml:space="preserve">fully </w:t>
      </w:r>
      <w:r w:rsidRPr="005A6EB5">
        <w:rPr>
          <w:rFonts w:ascii="Arial" w:hAnsi="Arial" w:cs="Arial"/>
          <w:color w:val="404040" w:themeColor="text1" w:themeTint="BF"/>
        </w:rPr>
        <w:t xml:space="preserve">aware of the risks of </w:t>
      </w:r>
      <w:r>
        <w:rPr>
          <w:rFonts w:ascii="Arial" w:hAnsi="Arial" w:cs="Arial"/>
          <w:color w:val="404040" w:themeColor="text1" w:themeTint="BF"/>
        </w:rPr>
        <w:t xml:space="preserve">refusing the newborn metabolic screen </w:t>
      </w:r>
      <w:r w:rsidRPr="005A6EB5">
        <w:rPr>
          <w:rFonts w:ascii="Arial" w:hAnsi="Arial" w:cs="Arial"/>
          <w:color w:val="404040" w:themeColor="text1" w:themeTint="BF"/>
        </w:rPr>
        <w:t>and have freely chosen to take the following action:</w:t>
      </w:r>
    </w:p>
    <w:p w:rsidR="002E0D99" w:rsidRDefault="002E0D99"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p>
    <w:p w:rsidR="002E0D99" w:rsidRDefault="002E0D99"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bookmarkStart w:id="0" w:name="_GoBack"/>
      <w:r w:rsidRPr="002B3EB7">
        <w:rPr>
          <w:rFonts w:ascii="Arial" w:hAnsi="Arial" w:cs="Arial"/>
          <w:b/>
          <w:color w:val="404040" w:themeColor="text1" w:themeTint="BF"/>
        </w:rPr>
        <w:t>Initial</w:t>
      </w:r>
      <w:r>
        <w:rPr>
          <w:rFonts w:ascii="Arial" w:hAnsi="Arial" w:cs="Arial"/>
          <w:color w:val="404040" w:themeColor="text1" w:themeTint="BF"/>
        </w:rPr>
        <w:t xml:space="preserve"> </w:t>
      </w:r>
      <w:bookmarkEnd w:id="0"/>
      <w:r>
        <w:rPr>
          <w:rFonts w:ascii="Arial" w:hAnsi="Arial" w:cs="Arial"/>
          <w:color w:val="404040" w:themeColor="text1" w:themeTint="BF"/>
        </w:rPr>
        <w:t>next to your decision(s):</w:t>
      </w:r>
    </w:p>
    <w:p w:rsidR="00DF400D" w:rsidRDefault="00DF400D"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Pr>
          <w:rFonts w:ascii="Arial" w:hAnsi="Arial" w:cs="Arial"/>
          <w:color w:val="404040" w:themeColor="text1" w:themeTint="BF"/>
        </w:rPr>
        <w:t>______ I consent to the initial Metabolic Screen and would like to do a newborn heel prick within 48 hours after birth.</w:t>
      </w:r>
    </w:p>
    <w:p w:rsidR="00DF400D" w:rsidRDefault="00DF400D"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Pr>
          <w:rFonts w:ascii="Arial" w:hAnsi="Arial" w:cs="Arial"/>
          <w:color w:val="404040" w:themeColor="text1" w:themeTint="BF"/>
        </w:rPr>
        <w:t>______ I refuse to do the Newborn Metabolic Screen for religious</w:t>
      </w:r>
      <w:r w:rsidR="00312076">
        <w:rPr>
          <w:rFonts w:ascii="Arial" w:hAnsi="Arial" w:cs="Arial"/>
          <w:color w:val="404040" w:themeColor="text1" w:themeTint="BF"/>
        </w:rPr>
        <w:t xml:space="preserve"> reasons </w:t>
      </w:r>
    </w:p>
    <w:p w:rsidR="00312076" w:rsidRDefault="00312076"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p>
    <w:p w:rsidR="00312076" w:rsidRDefault="00312076"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Pr>
          <w:rFonts w:ascii="Arial" w:hAnsi="Arial" w:cs="Arial"/>
          <w:color w:val="404040" w:themeColor="text1" w:themeTint="BF"/>
        </w:rPr>
        <w:t>Date of Consent</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w:t>
      </w:r>
    </w:p>
    <w:p w:rsidR="00312076" w:rsidRDefault="00312076"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Pr>
          <w:rFonts w:ascii="Arial" w:hAnsi="Arial" w:cs="Arial"/>
          <w:color w:val="404040" w:themeColor="text1" w:themeTint="BF"/>
        </w:rPr>
        <w:t>Clients Printed Name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w:t>
      </w:r>
    </w:p>
    <w:p w:rsidR="00312076" w:rsidRDefault="00312076"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Pr>
          <w:rFonts w:ascii="Arial" w:hAnsi="Arial" w:cs="Arial"/>
          <w:color w:val="404040" w:themeColor="text1" w:themeTint="BF"/>
        </w:rPr>
        <w:t>Clients Signature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w:t>
      </w:r>
    </w:p>
    <w:p w:rsidR="00312076" w:rsidRDefault="00312076" w:rsidP="002E0D99">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Pr>
          <w:rFonts w:ascii="Arial" w:hAnsi="Arial" w:cs="Arial"/>
          <w:color w:val="404040" w:themeColor="text1" w:themeTint="BF"/>
        </w:rPr>
        <w:t>Midwifes Signature: ________________________________________</w:t>
      </w:r>
    </w:p>
    <w:p w:rsidR="002E0D99" w:rsidRPr="002E0D99" w:rsidRDefault="002E0D99" w:rsidP="00280205">
      <w:pPr>
        <w:pStyle w:val="NoSpacing"/>
        <w:rPr>
          <w:rFonts w:ascii="Arial" w:hAnsi="Arial" w:cs="Arial"/>
          <w:b/>
          <w:color w:val="404040" w:themeColor="text1" w:themeTint="BF"/>
        </w:rPr>
      </w:pPr>
    </w:p>
    <w:sectPr w:rsidR="002E0D99" w:rsidRPr="002E0D99" w:rsidSect="009628C4">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05"/>
    <w:rsid w:val="001F47D9"/>
    <w:rsid w:val="00280205"/>
    <w:rsid w:val="002B3EB7"/>
    <w:rsid w:val="002E0D99"/>
    <w:rsid w:val="00312076"/>
    <w:rsid w:val="003B09B1"/>
    <w:rsid w:val="00811537"/>
    <w:rsid w:val="009628C4"/>
    <w:rsid w:val="00CD1B78"/>
    <w:rsid w:val="00D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205"/>
    <w:pPr>
      <w:spacing w:after="0" w:line="240" w:lineRule="auto"/>
    </w:pPr>
  </w:style>
  <w:style w:type="paragraph" w:styleId="NormalWeb">
    <w:name w:val="Normal (Web)"/>
    <w:basedOn w:val="Normal"/>
    <w:uiPriority w:val="99"/>
    <w:semiHidden/>
    <w:unhideWhenUsed/>
    <w:rsid w:val="00962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7D9"/>
    <w:rPr>
      <w:color w:val="0000FF"/>
      <w:u w:val="single"/>
    </w:rPr>
  </w:style>
  <w:style w:type="character" w:customStyle="1" w:styleId="breakword">
    <w:name w:val="break_word"/>
    <w:basedOn w:val="DefaultParagraphFont"/>
    <w:rsid w:val="001F47D9"/>
  </w:style>
  <w:style w:type="paragraph" w:styleId="BalloonText">
    <w:name w:val="Balloon Text"/>
    <w:basedOn w:val="Normal"/>
    <w:link w:val="BalloonTextChar"/>
    <w:uiPriority w:val="99"/>
    <w:semiHidden/>
    <w:unhideWhenUsed/>
    <w:rsid w:val="0031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205"/>
    <w:pPr>
      <w:spacing w:after="0" w:line="240" w:lineRule="auto"/>
    </w:pPr>
  </w:style>
  <w:style w:type="paragraph" w:styleId="NormalWeb">
    <w:name w:val="Normal (Web)"/>
    <w:basedOn w:val="Normal"/>
    <w:uiPriority w:val="99"/>
    <w:semiHidden/>
    <w:unhideWhenUsed/>
    <w:rsid w:val="00962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7D9"/>
    <w:rPr>
      <w:color w:val="0000FF"/>
      <w:u w:val="single"/>
    </w:rPr>
  </w:style>
  <w:style w:type="character" w:customStyle="1" w:styleId="breakword">
    <w:name w:val="break_word"/>
    <w:basedOn w:val="DefaultParagraphFont"/>
    <w:rsid w:val="001F47D9"/>
  </w:style>
  <w:style w:type="paragraph" w:styleId="BalloonText">
    <w:name w:val="Balloon Text"/>
    <w:basedOn w:val="Normal"/>
    <w:link w:val="BalloonTextChar"/>
    <w:uiPriority w:val="99"/>
    <w:semiHidden/>
    <w:unhideWhenUsed/>
    <w:rsid w:val="0031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programs-and-services/childrens-health/newborn-screening/" TargetMode="External"/><Relationship Id="rId3" Type="http://schemas.openxmlformats.org/officeDocument/2006/relationships/settings" Target="settings.xml"/><Relationship Id="rId7" Type="http://schemas.openxmlformats.org/officeDocument/2006/relationships/hyperlink" Target="mailto:CMS.NBS@FLHealt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850-245-42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2016-03-21T14:47:00Z</dcterms:created>
  <dcterms:modified xsi:type="dcterms:W3CDTF">2016-03-22T14:59:00Z</dcterms:modified>
</cp:coreProperties>
</file>